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1C" w:rsidRPr="0033680D" w:rsidRDefault="00572E53">
      <w:pPr>
        <w:snapToGrid w:val="0"/>
        <w:spacing w:line="400" w:lineRule="exact"/>
        <w:jc w:val="center"/>
        <w:rPr>
          <w:rFonts w:eastAsia="標楷體"/>
          <w:b/>
          <w:sz w:val="36"/>
        </w:rPr>
      </w:pPr>
      <w:r w:rsidRPr="0033680D">
        <w:rPr>
          <w:rFonts w:eastAsia="標楷體" w:hint="eastAsia"/>
          <w:b/>
          <w:sz w:val="36"/>
        </w:rPr>
        <w:t>國家發展委員會</w:t>
      </w:r>
      <w:r w:rsidR="0026461C" w:rsidRPr="0033680D">
        <w:rPr>
          <w:rFonts w:eastAsia="標楷體" w:hint="eastAsia"/>
          <w:b/>
          <w:sz w:val="36"/>
        </w:rPr>
        <w:t>檔案管理局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預算總說明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  <w:r w:rsidRPr="00F62F28">
        <w:rPr>
          <w:rFonts w:eastAsia="標楷體"/>
          <w:b/>
          <w:sz w:val="32"/>
        </w:rPr>
        <w:t>中華民國</w:t>
      </w:r>
      <w:proofErr w:type="gramStart"/>
      <w:r w:rsidRPr="00F62F28">
        <w:rPr>
          <w:rFonts w:eastAsia="標楷體"/>
          <w:b/>
          <w:sz w:val="32"/>
        </w:rPr>
        <w:t>10</w:t>
      </w:r>
      <w:r w:rsidR="00EA7F04">
        <w:rPr>
          <w:rFonts w:eastAsia="標楷體" w:hint="eastAsia"/>
          <w:b/>
          <w:sz w:val="32"/>
        </w:rPr>
        <w:t>6</w:t>
      </w:r>
      <w:proofErr w:type="gramEnd"/>
      <w:r w:rsidRPr="00F62F28">
        <w:rPr>
          <w:rFonts w:eastAsia="標楷體"/>
          <w:b/>
          <w:sz w:val="32"/>
        </w:rPr>
        <w:t>年度</w:t>
      </w:r>
    </w:p>
    <w:p w:rsidR="0026461C" w:rsidRPr="00F62F28" w:rsidRDefault="0026461C">
      <w:pPr>
        <w:snapToGrid w:val="0"/>
        <w:spacing w:line="400" w:lineRule="exact"/>
        <w:jc w:val="center"/>
        <w:rPr>
          <w:rFonts w:eastAsia="標楷體"/>
          <w:b/>
          <w:sz w:val="32"/>
        </w:rPr>
      </w:pPr>
    </w:p>
    <w:p w:rsidR="0026461C" w:rsidRPr="00F62F28" w:rsidRDefault="0026461C">
      <w:pPr>
        <w:spacing w:line="400" w:lineRule="exact"/>
        <w:jc w:val="both"/>
        <w:textDirection w:val="lrTbV"/>
        <w:rPr>
          <w:rFonts w:eastAsia="標楷體"/>
          <w:b/>
          <w:bCs/>
          <w:sz w:val="32"/>
          <w:szCs w:val="28"/>
        </w:rPr>
      </w:pPr>
      <w:r w:rsidRPr="00F62F28">
        <w:rPr>
          <w:rFonts w:eastAsia="標楷體"/>
          <w:b/>
          <w:bCs/>
          <w:sz w:val="32"/>
          <w:szCs w:val="28"/>
        </w:rPr>
        <w:t>一、現行法定職掌</w:t>
      </w:r>
    </w:p>
    <w:p w:rsidR="00005507" w:rsidRPr="00F62F28" w:rsidRDefault="00005507" w:rsidP="0033680D">
      <w:pPr>
        <w:spacing w:line="500" w:lineRule="exact"/>
        <w:ind w:leftChars="129" w:left="780" w:hangingChars="168" w:hanging="47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一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機關主要職掌：本局組織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於民國</w:t>
      </w:r>
      <w:r w:rsidR="00572E53">
        <w:rPr>
          <w:rFonts w:eastAsia="標楷體" w:hint="eastAsia"/>
          <w:sz w:val="28"/>
          <w:szCs w:val="28"/>
        </w:rPr>
        <w:t>102</w:t>
      </w:r>
      <w:r w:rsidRPr="00F62F28">
        <w:rPr>
          <w:rFonts w:eastAsia="標楷體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8</w:t>
      </w:r>
      <w:r w:rsidRPr="00F62F28">
        <w:rPr>
          <w:rFonts w:eastAsia="標楷體"/>
          <w:sz w:val="28"/>
          <w:szCs w:val="28"/>
        </w:rPr>
        <w:t>月</w:t>
      </w:r>
      <w:r w:rsidRPr="00F62F28">
        <w:rPr>
          <w:rFonts w:eastAsia="標楷體"/>
          <w:sz w:val="28"/>
          <w:szCs w:val="28"/>
        </w:rPr>
        <w:t>2</w:t>
      </w:r>
      <w:r w:rsidR="00572E53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日奉</w:t>
      </w:r>
      <w:r w:rsidRPr="00F62F28">
        <w:rPr>
          <w:rFonts w:eastAsia="標楷體"/>
          <w:sz w:val="28"/>
          <w:szCs w:val="28"/>
        </w:rPr>
        <w:t xml:space="preserve">  </w:t>
      </w:r>
      <w:r w:rsidRPr="00F62F28">
        <w:rPr>
          <w:rFonts w:eastAsia="標楷體"/>
          <w:sz w:val="28"/>
          <w:szCs w:val="28"/>
        </w:rPr>
        <w:t>總統令公布，</w:t>
      </w:r>
      <w:r w:rsidR="00572E53">
        <w:rPr>
          <w:rFonts w:eastAsia="標楷體" w:hint="eastAsia"/>
          <w:sz w:val="28"/>
          <w:szCs w:val="28"/>
        </w:rPr>
        <w:t>並自</w:t>
      </w:r>
      <w:r w:rsidR="00572E53">
        <w:rPr>
          <w:rFonts w:eastAsia="標楷體" w:hint="eastAsia"/>
          <w:sz w:val="28"/>
          <w:szCs w:val="28"/>
        </w:rPr>
        <w:t>103</w:t>
      </w:r>
      <w:r w:rsidR="00572E53">
        <w:rPr>
          <w:rFonts w:eastAsia="標楷體" w:hint="eastAsia"/>
          <w:sz w:val="28"/>
          <w:szCs w:val="28"/>
        </w:rPr>
        <w:t>年</w:t>
      </w:r>
      <w:r w:rsidR="00572E53">
        <w:rPr>
          <w:rFonts w:eastAsia="標楷體" w:hint="eastAsia"/>
          <w:sz w:val="28"/>
          <w:szCs w:val="28"/>
        </w:rPr>
        <w:t>1</w:t>
      </w:r>
      <w:r w:rsidR="00572E53">
        <w:rPr>
          <w:rFonts w:eastAsia="標楷體" w:hint="eastAsia"/>
          <w:sz w:val="28"/>
          <w:szCs w:val="28"/>
        </w:rPr>
        <w:t>月</w:t>
      </w:r>
      <w:r w:rsidR="00572E53">
        <w:rPr>
          <w:rFonts w:eastAsia="標楷體" w:hint="eastAsia"/>
          <w:sz w:val="28"/>
          <w:szCs w:val="28"/>
        </w:rPr>
        <w:t>22</w:t>
      </w:r>
      <w:r w:rsidR="00572E53">
        <w:rPr>
          <w:rFonts w:eastAsia="標楷體" w:hint="eastAsia"/>
          <w:sz w:val="28"/>
          <w:szCs w:val="28"/>
        </w:rPr>
        <w:t>日</w:t>
      </w:r>
      <w:r w:rsidR="00531237">
        <w:rPr>
          <w:rFonts w:eastAsia="標楷體" w:hint="eastAsia"/>
          <w:sz w:val="28"/>
          <w:szCs w:val="28"/>
        </w:rPr>
        <w:t>開始施行</w:t>
      </w:r>
      <w:r w:rsidRPr="00F62F28">
        <w:rPr>
          <w:rFonts w:eastAsia="標楷體"/>
          <w:sz w:val="28"/>
          <w:szCs w:val="28"/>
        </w:rPr>
        <w:t>。本局掌理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檔案政策、法規與管理制度之研議及擬訂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各機關檔案管理、應用之指導、評鑑及目錄彙整公布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各機關檔案保存年限及檔案銷毀之審核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檔案之判定、分類、保存期限及其他爭議案件之審議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國家檔案徵集、移轉、整理、典藏、開放應用與設施之規劃及推動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私人或團體所有文件或資料之受贈、受託保管或收購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文書與檔案管理資訊系統之規劃及協調推動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檔案管理與應用之研究、出版、技術發展、學術交流、國際合作及檔案管理人員之培訓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行政院與所屬各機關公文時效管制之規劃及推動等業務</w:t>
      </w:r>
      <w:r w:rsidR="00F8541A" w:rsidRPr="00F62F28">
        <w:rPr>
          <w:rFonts w:eastAsia="標楷體"/>
          <w:sz w:val="28"/>
          <w:szCs w:val="28"/>
        </w:rPr>
        <w:t>。</w:t>
      </w:r>
    </w:p>
    <w:p w:rsidR="00F8541A" w:rsidRPr="00F62F28" w:rsidRDefault="00F8541A" w:rsidP="00EF0800">
      <w:pPr>
        <w:spacing w:line="460" w:lineRule="exact"/>
        <w:ind w:leftChars="130" w:left="872" w:hangingChars="200" w:hanging="560"/>
        <w:jc w:val="both"/>
        <w:textDirection w:val="lrTbV"/>
        <w:rPr>
          <w:rFonts w:eastAsia="標楷體"/>
          <w:sz w:val="28"/>
          <w:szCs w:val="28"/>
        </w:rPr>
      </w:pPr>
    </w:p>
    <w:p w:rsidR="00005507" w:rsidRPr="00F62F28" w:rsidRDefault="00005507" w:rsidP="0033680D">
      <w:pPr>
        <w:spacing w:line="500" w:lineRule="exact"/>
        <w:ind w:leftChars="110" w:left="726" w:hangingChars="165" w:hanging="462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二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內部分層業務：本局內部單位及</w:t>
      </w:r>
      <w:r w:rsidR="00A63AC6">
        <w:rPr>
          <w:rFonts w:eastAsia="標楷體" w:hint="eastAsia"/>
          <w:sz w:val="28"/>
          <w:szCs w:val="28"/>
        </w:rPr>
        <w:t>預算</w:t>
      </w:r>
      <w:r w:rsidRPr="00F62F28">
        <w:rPr>
          <w:rFonts w:eastAsia="標楷體"/>
          <w:sz w:val="28"/>
          <w:szCs w:val="28"/>
        </w:rPr>
        <w:t>員額如附組織系統圖，係依本局組織</w:t>
      </w:r>
      <w:r w:rsidR="00531237">
        <w:rPr>
          <w:rFonts w:eastAsia="標楷體" w:hint="eastAsia"/>
          <w:sz w:val="28"/>
          <w:szCs w:val="28"/>
        </w:rPr>
        <w:t>法</w:t>
      </w:r>
      <w:r w:rsidRPr="00F62F28">
        <w:rPr>
          <w:rFonts w:eastAsia="標楷體"/>
          <w:sz w:val="28"/>
          <w:szCs w:val="28"/>
        </w:rPr>
        <w:t>設置，有關內部單位業務職掌劃分如下：</w:t>
      </w:r>
    </w:p>
    <w:p w:rsidR="00005507" w:rsidRPr="00F62F28" w:rsidRDefault="00005507" w:rsidP="0033680D">
      <w:pPr>
        <w:spacing w:line="500" w:lineRule="exact"/>
        <w:ind w:leftChars="349" w:left="1062" w:hangingChars="80" w:hanging="224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1.</w:t>
      </w:r>
      <w:r w:rsidRPr="00F62F28">
        <w:rPr>
          <w:rFonts w:eastAsia="標楷體"/>
          <w:sz w:val="28"/>
          <w:szCs w:val="28"/>
        </w:rPr>
        <w:t>本局置局長</w:t>
      </w:r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人，綜理局務；副局長</w:t>
      </w:r>
      <w:r w:rsidR="00531237">
        <w:rPr>
          <w:rFonts w:eastAsia="標楷體" w:hint="eastAsia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人，襄理局務；主任秘書</w:t>
      </w:r>
      <w:r w:rsidR="00531237">
        <w:rPr>
          <w:rFonts w:eastAsia="標楷體" w:hint="eastAsia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人為幕僚長。</w:t>
      </w:r>
    </w:p>
    <w:p w:rsidR="00005507" w:rsidRPr="00F62F28" w:rsidRDefault="00005507" w:rsidP="0033680D">
      <w:pPr>
        <w:spacing w:line="500" w:lineRule="exact"/>
        <w:ind w:firstLineChars="300" w:firstLine="84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2.</w:t>
      </w:r>
      <w:r w:rsidRPr="00F62F28">
        <w:rPr>
          <w:rFonts w:eastAsia="標楷體"/>
          <w:sz w:val="28"/>
          <w:szCs w:val="28"/>
        </w:rPr>
        <w:t>本局設下列</w:t>
      </w:r>
      <w:r w:rsidR="00531237">
        <w:rPr>
          <w:rFonts w:eastAsia="標楷體" w:hint="eastAsia"/>
          <w:sz w:val="28"/>
          <w:szCs w:val="28"/>
        </w:rPr>
        <w:t>5</w:t>
      </w:r>
      <w:r w:rsidRPr="00F62F28">
        <w:rPr>
          <w:rFonts w:eastAsia="標楷體"/>
          <w:sz w:val="28"/>
          <w:szCs w:val="28"/>
        </w:rPr>
        <w:t>組</w:t>
      </w:r>
      <w:r w:rsidR="00531237">
        <w:rPr>
          <w:rFonts w:eastAsia="標楷體" w:hint="eastAsia"/>
          <w:sz w:val="28"/>
          <w:szCs w:val="28"/>
        </w:rPr>
        <w:t>3</w:t>
      </w:r>
      <w:r w:rsidRPr="00F62F28">
        <w:rPr>
          <w:rFonts w:eastAsia="標楷體"/>
          <w:sz w:val="28"/>
          <w:szCs w:val="28"/>
        </w:rPr>
        <w:t>室：</w:t>
      </w:r>
    </w:p>
    <w:p w:rsidR="00005507" w:rsidRPr="00F62F28" w:rsidRDefault="00005507" w:rsidP="0033680D">
      <w:pPr>
        <w:spacing w:line="500" w:lineRule="exact"/>
        <w:ind w:leftChars="400" w:left="2380" w:hangingChars="507" w:hanging="142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(1)</w:t>
      </w:r>
      <w:r w:rsidRPr="00F62F28">
        <w:rPr>
          <w:rFonts w:eastAsia="標楷體"/>
          <w:sz w:val="28"/>
          <w:szCs w:val="28"/>
        </w:rPr>
        <w:t>企劃組：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國家檔案管理委員會議事幕僚作業事項；檔案管理發展策略之規劃、協調及推動；檔案管理組織發展之規劃；本局中、長程計畫與年度施政計畫之擬訂、協調及執行考核；本局重要業務之追蹤考核；機關檔案管理作業輔導訪視、評鑑、人員培訓及調查分析；檔案管理與應用之學術交流與國際合作之規劃、協調及推動；行政院及所屬各機關公文時效管制之規劃及推動；本局出版品之出版、發行、管理及推廣；本局委託研究與自行研究之協調、推動及追蹤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其他有關企劃事項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8" w:left="2935" w:hangingChars="707" w:hanging="198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(2)</w:t>
      </w:r>
      <w:r w:rsidRPr="00F62F28">
        <w:rPr>
          <w:rFonts w:eastAsia="標楷體"/>
          <w:kern w:val="0"/>
          <w:sz w:val="28"/>
          <w:szCs w:val="28"/>
        </w:rPr>
        <w:t>檔案徵集組：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機關檔案點收制度與作業之規劃、推動及輔導；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lastRenderedPageBreak/>
        <w:t>檔案分類編案、編目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輔導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機關檔案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保存年限制度之規劃、推動、輔導及審核；檔案保存價值鑑定制度之規劃、推動及輔導；機關檔案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度之規劃、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推動、輔導及機關檔案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銷毀之審核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機密檔案管理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業之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國家檔案移轉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制度與徵集鑑選作業之規劃、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及輔導；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私人或團體所有珍貴文書或資料之受贈、受託保管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及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收購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kern w:val="0"/>
          <w:sz w:val="28"/>
          <w:szCs w:val="28"/>
        </w:rPr>
        <w:t>檔案徵集事項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(3)</w:t>
      </w:r>
      <w:r w:rsidRPr="00F62F28">
        <w:rPr>
          <w:rFonts w:eastAsia="標楷體"/>
          <w:kern w:val="0"/>
          <w:sz w:val="28"/>
          <w:szCs w:val="28"/>
        </w:rPr>
        <w:t>檔案典藏組：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典藏環境與設施之規劃、推動及輔導；機關檔案整理保管、保存修護與複製儲存之制度規劃、推動及輔導；國家檔案整理保管、編排描述、清查與機密等級檢討之規劃及執行；國家檔案保存修護與複製儲存之規劃、技術研發及執行；國家檔案典藏館舍興建與土建、機電、空調等相關設施之規劃及執行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檔案典藏事項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9" w:left="2924" w:hangingChars="702" w:hanging="1966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(4)</w:t>
      </w:r>
      <w:r w:rsidRPr="00F62F28">
        <w:rPr>
          <w:rFonts w:eastAsia="標楷體"/>
          <w:kern w:val="0"/>
          <w:sz w:val="28"/>
          <w:szCs w:val="28"/>
        </w:rPr>
        <w:t>應用服務組：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應用制度與作業之規劃、推動及輔導；檔案目錄應用效能之規劃及推動；檔案目錄彙整公布作業之規劃、推動及輔導；國家檔案應用服務之規劃及執行；國家檔案研究、編輯、出版、推廣與展示之規劃及執行；機關檔案應用服務作業之指導及諮詢；檔案管理書刊蒐集、整理及服務事項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其他有關檔案應用服務事項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394" w:left="3486" w:hangingChars="907" w:hanging="2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(5)</w:t>
      </w:r>
      <w:r w:rsidR="00572E53">
        <w:rPr>
          <w:rFonts w:eastAsia="標楷體" w:hint="eastAsia"/>
          <w:kern w:val="0"/>
          <w:sz w:val="28"/>
          <w:szCs w:val="28"/>
        </w:rPr>
        <w:t>文書</w:t>
      </w:r>
      <w:r w:rsidRPr="00F62F28">
        <w:rPr>
          <w:rFonts w:eastAsia="標楷體"/>
          <w:kern w:val="0"/>
          <w:sz w:val="28"/>
          <w:szCs w:val="28"/>
        </w:rPr>
        <w:t>檔案資訊組：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文書與檔案管理資訊技術規範之研訂及執行；文書與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檔案管理資訊系統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整合、協調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、輔導及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技術研發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；國家檔案管理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規劃、建置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、管理、維運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及推動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；電子檔案長期保存環境管理、技術諮詢及維運；機關檔案目錄管理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資訊系統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與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網站之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規劃、建置、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維運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及推動；本局資訊系統應用服務策略規劃及協調推動；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本局資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通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安全規劃及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推動；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資訊應用環境規劃及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管理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其他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有關文書及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lastRenderedPageBreak/>
        <w:t>檔案資訊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系統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408" w:hangingChars="517" w:hanging="1448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kern w:val="0"/>
          <w:sz w:val="28"/>
          <w:szCs w:val="28"/>
        </w:rPr>
        <w:t>(6)</w:t>
      </w:r>
      <w:r w:rsidRPr="00F62F28">
        <w:rPr>
          <w:rFonts w:eastAsia="標楷體"/>
          <w:kern w:val="0"/>
          <w:sz w:val="28"/>
          <w:szCs w:val="28"/>
        </w:rPr>
        <w:t>秘書室：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檔案法令制（訂）定、修正、廢止之研議或審議及協調；本局法令之異動、彙整及通報；業務行政涉及法令之審議；文書、檔案、印信、出納、庶務及財產管理；國會聯絡及媒體公關</w:t>
      </w:r>
      <w:r w:rsidR="0053123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；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不屬其他各組、室事項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366" w:hangingChars="502" w:hanging="1406"/>
        <w:jc w:val="both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(7)</w:t>
      </w:r>
      <w:r w:rsidRPr="00F62F28">
        <w:rPr>
          <w:rFonts w:eastAsia="標楷體"/>
          <w:sz w:val="28"/>
          <w:szCs w:val="28"/>
        </w:rPr>
        <w:t>人事室：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本局人事事項</w:t>
      </w:r>
      <w:r w:rsidRPr="00F62F28">
        <w:rPr>
          <w:rFonts w:eastAsia="標楷體"/>
          <w:sz w:val="28"/>
          <w:szCs w:val="28"/>
        </w:rPr>
        <w:t>。</w:t>
      </w:r>
    </w:p>
    <w:p w:rsidR="00005507" w:rsidRPr="00F62F28" w:rsidRDefault="00005507" w:rsidP="0033680D">
      <w:pPr>
        <w:spacing w:line="500" w:lineRule="exact"/>
        <w:ind w:leftChars="400" w:left="2500" w:hangingChars="550" w:hanging="1540"/>
        <w:jc w:val="both"/>
        <w:rPr>
          <w:rFonts w:eastAsia="標楷體"/>
          <w:kern w:val="0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(8)</w:t>
      </w:r>
      <w:r w:rsidR="00C642E6" w:rsidRPr="00F62F28">
        <w:rPr>
          <w:rFonts w:eastAsia="標楷體" w:hint="eastAsia"/>
          <w:sz w:val="28"/>
          <w:szCs w:val="28"/>
        </w:rPr>
        <w:t>主</w:t>
      </w:r>
      <w:r w:rsidRPr="00F62F28">
        <w:rPr>
          <w:rFonts w:eastAsia="標楷體"/>
          <w:sz w:val="28"/>
          <w:szCs w:val="28"/>
        </w:rPr>
        <w:t>計室：</w:t>
      </w:r>
      <w:r w:rsidR="00931E51">
        <w:rPr>
          <w:rFonts w:ascii="標楷體" w:eastAsia="標楷體" w:hAnsi="標楷體" w:cs="新細明體" w:hint="eastAsia"/>
          <w:kern w:val="0"/>
          <w:sz w:val="28"/>
          <w:szCs w:val="28"/>
        </w:rPr>
        <w:t>掌理</w:t>
      </w:r>
      <w:r w:rsidR="00931E51" w:rsidRPr="001612AE">
        <w:rPr>
          <w:rFonts w:ascii="標楷體" w:eastAsia="標楷體" w:hAnsi="標楷體" w:cs="新細明體"/>
          <w:bCs/>
          <w:kern w:val="0"/>
          <w:sz w:val="28"/>
          <w:szCs w:val="28"/>
        </w:rPr>
        <w:t>本局</w:t>
      </w:r>
      <w:r w:rsidR="00931E51" w:rsidRPr="001612AE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歲計、會計及統計事項</w:t>
      </w:r>
      <w:r w:rsidRPr="00F62F28">
        <w:rPr>
          <w:rFonts w:eastAsia="標楷體"/>
          <w:sz w:val="28"/>
          <w:szCs w:val="28"/>
        </w:rPr>
        <w:t>。</w:t>
      </w:r>
    </w:p>
    <w:p w:rsidR="0026461C" w:rsidRPr="00F62F28" w:rsidRDefault="0026461C" w:rsidP="00EF0800">
      <w:pPr>
        <w:spacing w:line="460" w:lineRule="exact"/>
        <w:ind w:left="840" w:hanging="378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 xml:space="preserve">    </w:t>
      </w:r>
    </w:p>
    <w:p w:rsidR="0026461C" w:rsidRPr="00F62F28" w:rsidRDefault="0026461C">
      <w:pPr>
        <w:spacing w:line="400" w:lineRule="exact"/>
        <w:ind w:leftChars="130" w:left="692" w:hanging="380"/>
        <w:jc w:val="both"/>
        <w:textDirection w:val="lrTbV"/>
        <w:rPr>
          <w:rFonts w:eastAsia="標楷體"/>
          <w:sz w:val="28"/>
          <w:szCs w:val="28"/>
        </w:rPr>
      </w:pPr>
      <w:r w:rsidRPr="00F62F28">
        <w:rPr>
          <w:rFonts w:eastAsia="標楷體"/>
          <w:sz w:val="28"/>
          <w:szCs w:val="28"/>
        </w:rPr>
        <w:t>(</w:t>
      </w:r>
      <w:r w:rsidRPr="00F62F28">
        <w:rPr>
          <w:rFonts w:eastAsia="標楷體"/>
          <w:sz w:val="28"/>
          <w:szCs w:val="28"/>
        </w:rPr>
        <w:t>三</w:t>
      </w:r>
      <w:r w:rsidRPr="00F62F28">
        <w:rPr>
          <w:rFonts w:eastAsia="標楷體"/>
          <w:sz w:val="28"/>
          <w:szCs w:val="28"/>
        </w:rPr>
        <w:t>)</w:t>
      </w:r>
      <w:r w:rsidRPr="00F62F28">
        <w:rPr>
          <w:rFonts w:eastAsia="標楷體"/>
          <w:sz w:val="28"/>
          <w:szCs w:val="28"/>
        </w:rPr>
        <w:t>組織系統圖及預算員額說明表</w:t>
      </w:r>
    </w:p>
    <w:p w:rsidR="0026461C" w:rsidRDefault="00234826">
      <w:pPr>
        <w:pStyle w:val="Web"/>
        <w:widowControl w:val="0"/>
        <w:spacing w:before="0" w:beforeAutospacing="0" w:after="0" w:afterAutospacing="0"/>
        <w:rPr>
          <w:rFonts w:eastAsia="標楷體"/>
          <w:b/>
          <w:sz w:val="36"/>
        </w:rPr>
      </w:pPr>
      <w:r w:rsidRPr="0033680D">
        <w:rPr>
          <w:rFonts w:eastAsia="標楷體"/>
          <w:b/>
          <w:noProof/>
          <w:sz w:val="36"/>
        </w:rPr>
        <mc:AlternateContent>
          <mc:Choice Requires="wpc">
            <w:drawing>
              <wp:inline distT="0" distB="0" distL="0" distR="0" wp14:anchorId="2372A78B" wp14:editId="00924988">
                <wp:extent cx="6263640" cy="3360420"/>
                <wp:effectExtent l="0" t="0" r="3810" b="11430"/>
                <wp:docPr id="40" name="畫布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773555" y="7556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行政院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773555" y="528955"/>
                            <a:ext cx="2449195" cy="307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2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>
                            <a:off x="2998470" y="382905"/>
                            <a:ext cx="635" cy="146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773555" y="97917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國家發展委員會檔案管理局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3"/>
                        <wps:cNvCnPr>
                          <a:cxnSpLocks noChangeShapeType="1"/>
                          <a:stCxn id="4" idx="2"/>
                          <a:endCxn id="6" idx="0"/>
                        </wps:cNvCnPr>
                        <wps:spPr bwMode="auto">
                          <a:xfrm>
                            <a:off x="2998470" y="836295"/>
                            <a:ext cx="635" cy="1428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52165" y="1455420"/>
                            <a:ext cx="2449195" cy="307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33680D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國家檔案管理委員會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477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應用服務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0530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文書檔案資訊組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6"/>
                        <wps:cNvCnPr>
                          <a:cxnSpLocks noChangeShapeType="1"/>
                          <a:stCxn id="6" idx="2"/>
                          <a:endCxn id="8" idx="1"/>
                        </wps:cNvCnPr>
                        <wps:spPr bwMode="auto">
                          <a:xfrm rot="16200000" flipH="1">
                            <a:off x="3014345" y="1271270"/>
                            <a:ext cx="322580" cy="3536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906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檔案典藏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3347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檔案徵集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6327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企劃</w:t>
                              </w:r>
                              <w:r w:rsidRPr="0033680D">
                                <w:rPr>
                                  <w:rFonts w:ascii="標楷體" w:eastAsia="標楷體" w:hAnsi="標楷體" w:hint="eastAsia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62458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秘書室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024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人事室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773930" y="2141220"/>
                            <a:ext cx="471805" cy="121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515A" w:rsidRPr="0033680D" w:rsidRDefault="0031515A" w:rsidP="00A16402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主計室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3"/>
                        <wps:cNvCnPr>
                          <a:cxnSpLocks noChangeShapeType="1"/>
                          <a:stCxn id="14" idx="0"/>
                          <a:endCxn id="17" idx="0"/>
                        </wps:cNvCnPr>
                        <wps:spPr bwMode="auto">
                          <a:xfrm rot="5400000" flipV="1">
                            <a:off x="3004185" y="136525"/>
                            <a:ext cx="635" cy="4010660"/>
                          </a:xfrm>
                          <a:prstGeom prst="bentConnector3">
                            <a:avLst>
                              <a:gd name="adj1" fmla="val -360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9"/>
                        <wps:cNvCnPr>
                          <a:cxnSpLocks noChangeShapeType="1"/>
                          <a:stCxn id="13" idx="0"/>
                        </wps:cNvCnPr>
                        <wps:spPr bwMode="auto">
                          <a:xfrm flipV="1">
                            <a:off x="1570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1"/>
                        <wps:cNvCnPr>
                          <a:cxnSpLocks noChangeShapeType="1"/>
                          <a:stCxn id="12" idx="0"/>
                        </wps:cNvCnPr>
                        <wps:spPr bwMode="auto">
                          <a:xfrm flipV="1">
                            <a:off x="21424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2"/>
                        <wps:cNvCnPr>
                          <a:cxnSpLocks noChangeShapeType="1"/>
                          <a:stCxn id="9" idx="0"/>
                        </wps:cNvCnPr>
                        <wps:spPr bwMode="auto">
                          <a:xfrm flipV="1">
                            <a:off x="271399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3"/>
                        <wps:cNvCnPr>
                          <a:cxnSpLocks noChangeShapeType="1"/>
                          <a:stCxn id="10" idx="0"/>
                        </wps:cNvCnPr>
                        <wps:spPr bwMode="auto">
                          <a:xfrm flipV="1">
                            <a:off x="3289300" y="1903095"/>
                            <a:ext cx="635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2999105" y="1609725"/>
                            <a:ext cx="635" cy="2933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8"/>
                        <wps:cNvCnPr>
                          <a:cxnSpLocks noChangeShapeType="1"/>
                          <a:stCxn id="15" idx="0"/>
                        </wps:cNvCnPr>
                        <wps:spPr bwMode="auto">
                          <a:xfrm flipV="1">
                            <a:off x="386080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9"/>
                        <wps:cNvCnPr>
                          <a:cxnSpLocks noChangeShapeType="1"/>
                          <a:stCxn id="16" idx="0"/>
                        </wps:cNvCnPr>
                        <wps:spPr bwMode="auto">
                          <a:xfrm flipV="1">
                            <a:off x="4438650" y="1903095"/>
                            <a:ext cx="0" cy="2381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畫布 40" o:spid="_x0000_s1026" editas="canvas" style="width:493.2pt;height:264.6pt;mso-position-horizontal-relative:char;mso-position-vertical-relative:line" coordsize="62636,3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636;height:33604;visibility:visible;mso-wrap-style:square">
                  <v:fill o:detectmouseclick="t"/>
                  <v:path o:connecttype="none"/>
                </v:shape>
                <v:rect id="Rectangle 33" o:spid="_x0000_s1028" style="position:absolute;left:17735;top:755;width:24492;height:30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33680D">
                          <w:rPr>
                            <w:rFonts w:ascii="標楷體" w:eastAsia="標楷體" w:hAnsi="標楷體" w:hint="eastAsia"/>
                          </w:rPr>
                          <w:t>行政院</w:t>
                        </w:r>
                      </w:p>
                    </w:txbxContent>
                  </v:textbox>
                </v:rect>
                <v:rect id="Rectangle 34" o:spid="_x0000_s1029" style="position:absolute;left:17735;top:5289;width:2449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" o:spid="_x0000_s1030" type="#_x0000_t32" style="position:absolute;left:29984;top:3829;width:7;height:14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rect id="Rectangle 35" o:spid="_x0000_s1031" style="position:absolute;left:17735;top:9791;width:24492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國家發展委員會檔案管理局</w:t>
                        </w:r>
                      </w:p>
                    </w:txbxContent>
                  </v:textbox>
                </v:rect>
                <v:shape id="AutoShape 43" o:spid="_x0000_s1032" type="#_x0000_t32" style="position:absolute;left:29984;top:8362;width:7;height:1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rect id="Rectangle 36" o:spid="_x0000_s1033" style="position:absolute;left:33521;top:14554;width:24492;height:30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31515A" w:rsidRPr="0033680D" w:rsidRDefault="0031515A" w:rsidP="003368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國家檔案管理委員會</w:t>
                        </w:r>
                      </w:p>
                    </w:txbxContent>
                  </v:textbox>
                </v:rect>
                <v:rect id="Rectangle 45" o:spid="_x0000_s1034" style="position:absolute;left:2477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NZvsIA&#10;AADaAAAADwAAAGRycy9kb3ducmV2LnhtbESPUWvCMBSF3wf+h3CFvc1UxbF1RhGhTtzT3H7Apbk2&#10;xeYmNmnt/v0iCD4ezjnf4SzXg21ET22oHSuYTjIQxKXTNVcKfn+KlzcQISJrbByTgj8KsF6NnpaY&#10;a3flb+qPsRIJwiFHBSZGn0sZSkMWw8R54uSdXGsxJtlWUrd4TXDbyFmWvUqLNacFg562hsrzsbMK&#10;Lpv9qTD609eLRTf/2hWHvvMXpZ7Hw+YDRKQhPsL39l4reIfblX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1m+wgAAANoAAAAPAAAAAAAAAAAAAAAAAJgCAABkcnMvZG93&#10;bnJldi54bWxQSwUGAAAAAAQABAD1AAAAhwMAAAAA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應用服務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4" o:spid="_x0000_s1035" style="position:absolute;left:30530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SKcQA&#10;AADbAAAADwAAAGRycy9kb3ducmV2LnhtbESPQU/DMAyF70j8h8hIu7F0m4ZQWTZNkwoTnBj8AKvx&#10;mmqNkzVpV/49PiBxs/We3/u82U2+UyP1qQ1sYDEvQBHXwbbcGPj+qh6fQaWMbLELTAZ+KMFue3+3&#10;wdKGG3/SeMqNkhBOJRpwOcdS61Q78pjmIRKLdg69xyxr32jb403CfaeXRfGkPbYsDQ4jHRzVl9Pg&#10;DVz3x3Pl7Fts1+th9fFavY9DvBoze5j2L6AyTfnf/Hd9tIIv9PKLD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wUinEAAAA2wAAAA8AAAAAAAAAAAAAAAAAmAIAAGRycy9k&#10;b3ducmV2LnhtbFBLBQYAAAAABAAEAPUAAACJAwAAAAA=&#10;">
                  <v:textbox style="layout-flow:vertical-ideographic">
                    <w:txbxContent>
                      <w:p w:rsidR="0031515A" w:rsidRPr="0033680D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33680D">
                          <w:rPr>
                            <w:rFonts w:ascii="標楷體" w:eastAsia="標楷體" w:hAnsi="標楷體" w:hint="eastAsia"/>
                          </w:rPr>
                          <w:t>文書檔案資訊組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46" o:spid="_x0000_s1036" type="#_x0000_t33" style="position:absolute;left:30143;top:12712;width:3226;height:3537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TCEcAAAADbAAAADwAAAGRycy9kb3ducmV2LnhtbERP32vCMBB+F/wfwgm+yEzrYEhnFB0U&#10;fHNWER+P5taUNZeSZFr/+2Ug7O0+vp+32gy2EzfyoXWsIJ9nIIhrp1tuFJxP5csSRIjIGjvHpOBB&#10;ATbr8WiFhXZ3PtKtio1IIRwKVGBi7AspQ23IYpi7njhxX85bjAn6RmqP9xRuO7nIsjdpseXUYLCn&#10;D0P1d/VjFew+WR8u18VrWRqZ+1muK9tFpaaTYfsOItIQ/8VP916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0whHAAAAA2wAAAA8AAAAAAAAAAAAAAAAA&#10;oQIAAGRycy9kb3ducmV2LnhtbFBLBQYAAAAABAAEAPkAAACOAwAAAAA=&#10;"/>
                <v:rect id="Rectangle 47" o:spid="_x0000_s1037" style="position:absolute;left:1906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pxcEA&#10;AADbAAAADwAAAGRycy9kb3ducmV2LnhtbERP3WrCMBS+H/gO4Qi7m+kcyuhMiwh14q50e4BDc2zK&#10;mpPYpLV7ezMY7O58fL9nU062EyP1oXWs4HmRgSCunW65UfD1WT29gggRWWPnmBT8UICymD1sMNfu&#10;xicaz7ERKYRDjgpMjD6XMtSGLIaF88SJu7jeYkywb6Tu8ZbCbSeXWbaWFltODQY97QzV3+fBKrhu&#10;D5fK6HffrlbDy8e+Oo6Dvyr1OJ+2byAiTfFf/Oc+6DR/Cb+/pAN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uacX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檔案典藏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8" o:spid="_x0000_s1038" style="position:absolute;left:13347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MXsAA&#10;AADbAAAADwAAAGRycy9kb3ducmV2LnhtbERP3WrCMBS+H/gO4QjezXSKY3RGEaEqejW3Bzg0x6as&#10;OYlNWuvbm8HAu/Px/Z7lerCN6KkNtWMFb9MMBHHpdM2Vgp/v4vUDRIjIGhvHpOBOAdar0csSc+1u&#10;/EX9OVYihXDIUYGJ0edShtKQxTB1njhxF9dajAm2ldQt3lK4beQsy96lxZpTg0FPW0Pl77mzCq6b&#10;w6Uweu/rxaKbn3bFse/8VanJeNh8gog0xKf4333Qaf4c/n5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LMXsAAAADbAAAADwAAAAAAAAAAAAAAAACYAgAAZHJzL2Rvd25y&#10;ZXYueG1sUEsFBgAAAAAEAAQA9QAAAIUDAAAAAA=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檔案徵集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49" o:spid="_x0000_s1039" style="position:absolute;left:7632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tUKsEA&#10;AADbAAAADwAAAGRycy9kb3ducmV2LnhtbERP3WrCMBS+H/gO4Qi7m+nmHFKNIoM6cVerPsChOTZl&#10;zUls0tq9/TIQdnc+vt+z3o62FQN1oXGs4HmWgSCunG64VnA+FU9LECEia2wdk4IfCrDdTB7WmGt3&#10;4y8ayliLFMIhRwUmRp9LGSpDFsPMeeLEXVxnMSbY1VJ3eEvhtpUvWfYmLTacGgx6ejdUfZe9VXDd&#10;HS6F0R++WSz6+ee+OA69vyr1OB13KxCRxvgvvrsPOs1/hb9f0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LVCr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企劃</w:t>
                        </w:r>
                        <w:r w:rsidRPr="0033680D">
                          <w:rPr>
                            <w:rFonts w:ascii="標楷體" w:eastAsia="標楷體" w:hAnsi="標楷體" w:hint="eastAsia"/>
                          </w:rPr>
                          <w:t>組</w:t>
                        </w:r>
                      </w:p>
                    </w:txbxContent>
                  </v:textbox>
                </v:rect>
                <v:rect id="Rectangle 50" o:spid="_x0000_s1040" style="position:absolute;left:36245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xscEA&#10;AADbAAAADwAAAGRycy9kb3ducmV2LnhtbERP3WrCMBS+H+wdwhF2N1MdHaMzigzqZF6t7gEOzbEp&#10;a05ik9bu7RdB8O58fL9ntZlsJ0bqQ+tYwWKegSCunW65UfBzLJ/fQISIrLFzTAr+KMBm/fiwwkK7&#10;C3/TWMVGpBAOBSowMfpCylAbshjmzhMn7uR6izHBvpG6x0sKt51cZtmrtNhyajDo6cNQ/VsNVsF5&#10;uz+VRn/6Ns+Hl8Ou/BoHf1bqaTZt30FEmuJdfHPvdZqfw/WXd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+H8bH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秘書室</w:t>
                        </w:r>
                      </w:p>
                    </w:txbxContent>
                  </v:textbox>
                </v:rect>
                <v:rect id="Rectangle 51" o:spid="_x0000_s1041" style="position:absolute;left:42024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vxsAA&#10;AADbAAAADwAAAGRycy9kb3ducmV2LnhtbERP3WrCMBS+F3yHcITdaapDkWoUEbrJdjX1AQ7NsSk2&#10;J7FJa/f2y2Cwu/Px/Z7tfrCN6KkNtWMF81kGgrh0uuZKwfVSTNcgQkTW2DgmBd8UYL8bj7aYa/fk&#10;L+rPsRIphEOOCkyMPpcylIYshpnzxIm7udZiTLCtpG7xmcJtIxdZtpIWa04NBj0dDZX3c2cVPA6n&#10;W2H0u6+Xy+7186346Dv/UOplMhw2ICIN8V/85z7pNH8Fv7+kA+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VvxsAAAADbAAAADwAAAAAAAAAAAAAAAACYAgAAZHJzL2Rvd25y&#10;ZXYueG1sUEsFBgAAAAAEAAQA9QAAAIUDAAAAAA=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人事室</w:t>
                        </w:r>
                      </w:p>
                    </w:txbxContent>
                  </v:textbox>
                </v:rect>
                <v:rect id="Rectangle 52" o:spid="_x0000_s1042" style="position:absolute;left:47739;top:21412;width:471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KXcEA&#10;AADbAAAADwAAAGRycy9kb3ducmV2LnhtbERP3WrCMBS+F3yHcATvNN3EbXRGkUFVtqt1e4BDc2zK&#10;mpPYpLW+vRkMdnc+vt+z2Y22FQN1oXGs4GGZgSCunG64VvD9VSxeQISIrLF1TApuFGC3nU42mGt3&#10;5U8ayliLFMIhRwUmRp9LGSpDFsPSeeLEnV1nMSbY1VJ3eE3htpWPWfYkLTacGgx6ejNU/ZS9VXDZ&#10;n86F0UffrNf96uNQvA+9vyg1n437VxCRxvgv/nOfdJr/DL+/pAP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Zyl3BAAAA2wAAAA8AAAAAAAAAAAAAAAAAmAIAAGRycy9kb3du&#10;cmV2LnhtbFBLBQYAAAAABAAEAPUAAACGAwAAAAA=&#10;">
                  <v:textbox style="layout-flow:vertical-ideographic">
                    <w:txbxContent>
                      <w:p w:rsidR="0031515A" w:rsidRPr="0033680D" w:rsidRDefault="0031515A" w:rsidP="00A16402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主計室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53" o:spid="_x0000_s1043" type="#_x0000_t34" style="position:absolute;left:30042;top:1364;width:6;height:40107;rotation:-9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hKRcQAAADbAAAADwAAAGRycy9kb3ducmV2LnhtbESPQW/CMAyF75P4D5GRdhspHKaqENA0&#10;UYmdpjE4cDON13Y0TpWkpfv382HSbs/y8+f3NrvJdWqkEFvPBpaLDBRx5W3LtYHTZ/mUg4oJ2WLn&#10;mQz8UITddvawwcL6O3/QeEy1EgjHAg00KfWF1rFqyGFc+J5Ydl8+OEwyhlrbgHeBu06vsuxZO2xZ&#10;PjTY02tD1e04OKHkQzjFsawu+fB9PZ/p9la+7415nE8va1CJpvRv/rs+WIkvYaWLCN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EpFxAAAANsAAAAPAAAAAAAAAAAA&#10;AAAAAKECAABkcnMvZG93bnJldi54bWxQSwUGAAAAAAQABAD5AAAAkgMAAAAA&#10;" adj="-7776000"/>
                <v:shape id="AutoShape 59" o:spid="_x0000_s1044" type="#_x0000_t32" style="position:absolute;left:1570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Ty8EAAADbAAAADwAAAGRycy9kb3ducmV2LnhtbERPTYvCMBC9L/gfwgheFk3rYdFqFFlY&#10;EA8Lqz14HJKxLTaTmsTa/febBcHbPN7nrLeDbUVPPjSOFeSzDASxdqbhSkF5+pouQISIbLB1TAp+&#10;KcB2M3pbY2Hcg3+oP8ZKpBAOBSqoY+wKKYOuyWKYuY44cRfnLcYEfSWNx0cKt62cZ9mHtNhwaqix&#10;o8+a9PV4twqaQ/ld9u+36PXikJ99Hk7nVis1GQ+7FYhIQ3yJn+69SfOX8P9LOkB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N5PLwQAAANsAAAAPAAAAAAAAAAAAAAAA&#10;AKECAABkcnMvZG93bnJldi54bWxQSwUGAAAAAAQABAD5AAAAjwMAAAAA&#10;"/>
                <v:shape id="AutoShape 61" o:spid="_x0000_s1045" type="#_x0000_t32" style="position:absolute;left:21424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Hw68EAAADbAAAADwAAAGRycy9kb3ducmV2LnhtbERPPWvDMBDdC/0P4gpdSiPbQzFulBAK&#10;hZChUNuDx0O62CbWyZEUx/331VDo+Hjf2/1qJ7GQD6NjBfkmA0GsnRm5V9A2n68liBCRDU6OScEP&#10;BdjvHh+2WBl3529a6tiLFMKhQgVDjHMlZdADWQwbNxMn7uy8xZig76XxeE/hdpJFlr1JiyOnhgFn&#10;+hhIX+qbVTCe2q92eblGr8tT3vk8NN2klXp+Wg/vICKt8V/85z4aBUVan76kHyB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YfDrwQAAANsAAAAPAAAAAAAAAAAAAAAA&#10;AKECAABkcnMvZG93bnJldi54bWxQSwUGAAAAAAQABAD5AAAAjwMAAAAA&#10;"/>
                <v:shape id="AutoShape 62" o:spid="_x0000_s1046" type="#_x0000_t32" style="position:absolute;left:27139;top:19030;width:7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1VcMIAAADbAAAADwAAAGRycy9kb3ducmV2LnhtbESPQYvCMBSE7wv+h/AEL4um9bBINYoI&#10;gngQVnvw+EiebbF5qUms9d9vFhb2OMzMN8xqM9hW9ORD41hBPstAEGtnGq4UlJf9dAEiRGSDrWNS&#10;8KYAm/XoY4WFcS/+pv4cK5EgHApUUMfYFVIGXZPFMHMdcfJuzluMSfpKGo+vBLetnGfZl7TYcFqo&#10;saNdTfp+floFzbE8lf3nI3q9OOZXn4fLtdVKTcbDdgki0hD/w3/tg1Ewz+H3S/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i1VcMIAAADbAAAADwAAAAAAAAAAAAAA&#10;AAChAgAAZHJzL2Rvd25yZXYueG1sUEsFBgAAAAAEAAQA+QAAAJADAAAAAA==&#10;"/>
                <v:shape id="AutoShape 63" o:spid="_x0000_s1047" type="#_x0000_t32" style="position:absolute;left:32893;top:19030;width:6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  <v:shape id="AutoShape 66" o:spid="_x0000_s1048" type="#_x0000_t32" style="position:absolute;left:29991;top:16097;width:6;height:29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<v:shape id="AutoShape 68" o:spid="_x0000_s1049" type="#_x0000_t32" style="position:absolute;left:38608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r26M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a9ujDAAAA2wAAAA8AAAAAAAAAAAAA&#10;AAAAoQIAAGRycy9kb3ducmV2LnhtbFBLBQYAAAAABAAEAPkAAACRAwAAAAA=&#10;"/>
                <v:shape id="AutoShape 69" o:spid="_x0000_s1050" type="#_x0000_t32" style="position:absolute;left:44386;top:19030;width:0;height:23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ZTc8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zD7h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WU3P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BD4C7D" w:rsidRPr="008B26D9" w:rsidRDefault="00BD4C7D">
      <w:pPr>
        <w:pStyle w:val="Web"/>
        <w:widowControl w:val="0"/>
        <w:spacing w:before="0" w:beforeAutospacing="0" w:after="0" w:afterAutospacing="0"/>
        <w:rPr>
          <w:rFonts w:ascii="Times New Roman" w:hAnsi="Times New Roman"/>
          <w:kern w:val="2"/>
        </w:rPr>
      </w:pPr>
    </w:p>
    <w:p w:rsidR="00823F32" w:rsidRPr="00B11C15" w:rsidRDefault="0026461C" w:rsidP="0033680D">
      <w:pPr>
        <w:snapToGrid w:val="0"/>
        <w:spacing w:line="300" w:lineRule="atLeast"/>
        <w:ind w:leftChars="500" w:left="1761" w:hanging="561"/>
        <w:jc w:val="both"/>
      </w:pPr>
      <w:proofErr w:type="gramStart"/>
      <w:r w:rsidRPr="00F62F28">
        <w:rPr>
          <w:rFonts w:eastAsia="標楷體"/>
          <w:sz w:val="28"/>
          <w:szCs w:val="28"/>
        </w:rPr>
        <w:t>註</w:t>
      </w:r>
      <w:proofErr w:type="gramEnd"/>
      <w:r w:rsidRPr="00F62F28">
        <w:rPr>
          <w:rFonts w:eastAsia="標楷體"/>
          <w:sz w:val="28"/>
          <w:szCs w:val="28"/>
        </w:rPr>
        <w:t>：本局本年度配合業務推展需要，配置預算員額</w:t>
      </w:r>
      <w:r w:rsidRPr="00F62F28">
        <w:rPr>
          <w:rFonts w:eastAsia="標楷體"/>
          <w:sz w:val="28"/>
          <w:szCs w:val="28"/>
        </w:rPr>
        <w:t>1</w:t>
      </w:r>
      <w:r w:rsidR="00EA7F04">
        <w:rPr>
          <w:rFonts w:eastAsia="標楷體" w:hint="eastAsia"/>
          <w:sz w:val="28"/>
          <w:szCs w:val="28"/>
        </w:rPr>
        <w:t>19</w:t>
      </w:r>
      <w:r w:rsidRPr="00F62F28">
        <w:rPr>
          <w:rFonts w:eastAsia="標楷體"/>
          <w:sz w:val="28"/>
          <w:szCs w:val="28"/>
        </w:rPr>
        <w:t>人，包括正式職員</w:t>
      </w:r>
      <w:r w:rsidRPr="00F62F28">
        <w:rPr>
          <w:rFonts w:eastAsia="標楷體"/>
          <w:sz w:val="28"/>
          <w:szCs w:val="28"/>
        </w:rPr>
        <w:t>10</w:t>
      </w:r>
      <w:r w:rsidR="00EA7F04">
        <w:rPr>
          <w:rFonts w:eastAsia="標楷體" w:hint="eastAsia"/>
          <w:sz w:val="28"/>
          <w:szCs w:val="28"/>
        </w:rPr>
        <w:t>3</w:t>
      </w:r>
      <w:bookmarkStart w:id="0" w:name="_GoBack"/>
      <w:bookmarkEnd w:id="0"/>
      <w:r w:rsidRPr="00F62F28">
        <w:rPr>
          <w:rFonts w:eastAsia="標楷體"/>
          <w:sz w:val="28"/>
          <w:szCs w:val="28"/>
        </w:rPr>
        <w:t>人、技工</w:t>
      </w:r>
      <w:r w:rsidRPr="00F62F28">
        <w:rPr>
          <w:rFonts w:eastAsia="標楷體"/>
          <w:sz w:val="28"/>
          <w:szCs w:val="28"/>
        </w:rPr>
        <w:t>2</w:t>
      </w:r>
      <w:r w:rsidRPr="00F62F28">
        <w:rPr>
          <w:rFonts w:eastAsia="標楷體"/>
          <w:sz w:val="28"/>
          <w:szCs w:val="28"/>
        </w:rPr>
        <w:t>人、駕駛</w:t>
      </w:r>
      <w:r w:rsidRPr="00F62F28">
        <w:rPr>
          <w:rFonts w:eastAsia="標楷體"/>
          <w:sz w:val="28"/>
          <w:szCs w:val="28"/>
        </w:rPr>
        <w:t>1</w:t>
      </w:r>
      <w:r w:rsidRPr="00F62F28">
        <w:rPr>
          <w:rFonts w:eastAsia="標楷體"/>
          <w:sz w:val="28"/>
          <w:szCs w:val="28"/>
        </w:rPr>
        <w:t>人、工友</w:t>
      </w:r>
      <w:r w:rsidRPr="00F62F28">
        <w:rPr>
          <w:rFonts w:eastAsia="標楷體"/>
          <w:sz w:val="28"/>
          <w:szCs w:val="28"/>
        </w:rPr>
        <w:t>4</w:t>
      </w:r>
      <w:r w:rsidRPr="00F62F28">
        <w:rPr>
          <w:rFonts w:eastAsia="標楷體"/>
          <w:sz w:val="28"/>
          <w:szCs w:val="28"/>
        </w:rPr>
        <w:t>人、聘用人員</w:t>
      </w:r>
      <w:r w:rsidRPr="00F62F28">
        <w:rPr>
          <w:rFonts w:eastAsia="標楷體"/>
          <w:sz w:val="28"/>
          <w:szCs w:val="28"/>
        </w:rPr>
        <w:t>4</w:t>
      </w:r>
      <w:r w:rsidRPr="00F62F28">
        <w:rPr>
          <w:rFonts w:eastAsia="標楷體"/>
          <w:sz w:val="28"/>
          <w:szCs w:val="28"/>
        </w:rPr>
        <w:t>人、約</w:t>
      </w:r>
      <w:proofErr w:type="gramStart"/>
      <w:r w:rsidRPr="00F62F28">
        <w:rPr>
          <w:rFonts w:eastAsia="標楷體"/>
          <w:sz w:val="28"/>
          <w:szCs w:val="28"/>
        </w:rPr>
        <w:t>僱</w:t>
      </w:r>
      <w:proofErr w:type="gramEnd"/>
      <w:r w:rsidRPr="00F62F28">
        <w:rPr>
          <w:rFonts w:eastAsia="標楷體"/>
          <w:sz w:val="28"/>
          <w:szCs w:val="28"/>
        </w:rPr>
        <w:t>人員</w:t>
      </w:r>
      <w:r w:rsidR="00973259" w:rsidRPr="00F62F28">
        <w:rPr>
          <w:rFonts w:eastAsia="標楷體"/>
          <w:sz w:val="28"/>
          <w:szCs w:val="28"/>
        </w:rPr>
        <w:t>2</w:t>
      </w:r>
      <w:r w:rsidR="00772CD4" w:rsidRPr="00F62F28">
        <w:rPr>
          <w:rFonts w:eastAsia="標楷體"/>
          <w:sz w:val="28"/>
          <w:szCs w:val="28"/>
        </w:rPr>
        <w:t>人</w:t>
      </w:r>
      <w:r w:rsidR="00A16402">
        <w:rPr>
          <w:rFonts w:eastAsia="標楷體" w:hint="eastAsia"/>
          <w:sz w:val="28"/>
          <w:szCs w:val="28"/>
        </w:rPr>
        <w:t>、駐衛警</w:t>
      </w:r>
      <w:r w:rsidR="00A16402">
        <w:rPr>
          <w:rFonts w:eastAsia="標楷體" w:hint="eastAsia"/>
          <w:sz w:val="28"/>
          <w:szCs w:val="28"/>
        </w:rPr>
        <w:t>3</w:t>
      </w:r>
      <w:r w:rsidR="00A16402">
        <w:rPr>
          <w:rFonts w:eastAsia="標楷體" w:hint="eastAsia"/>
          <w:sz w:val="28"/>
          <w:szCs w:val="28"/>
        </w:rPr>
        <w:t>人</w:t>
      </w:r>
      <w:r w:rsidRPr="00F62F28">
        <w:rPr>
          <w:rFonts w:eastAsia="標楷體"/>
          <w:sz w:val="28"/>
          <w:szCs w:val="28"/>
        </w:rPr>
        <w:t>。</w:t>
      </w:r>
      <w:r w:rsidR="00973259" w:rsidRPr="00F62F28">
        <w:t xml:space="preserve"> </w:t>
      </w:r>
    </w:p>
    <w:sectPr w:rsidR="00823F32" w:rsidRPr="00B11C15">
      <w:footerReference w:type="default" r:id="rId9"/>
      <w:pgSz w:w="11906" w:h="16838"/>
      <w:pgMar w:top="1259" w:right="1021" w:bottom="1440" w:left="102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5A" w:rsidRDefault="0031515A">
      <w:r>
        <w:separator/>
      </w:r>
    </w:p>
  </w:endnote>
  <w:endnote w:type="continuationSeparator" w:id="0">
    <w:p w:rsidR="0031515A" w:rsidRDefault="0031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5A" w:rsidRDefault="0031515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A7F04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5A" w:rsidRDefault="0031515A">
      <w:r>
        <w:separator/>
      </w:r>
    </w:p>
  </w:footnote>
  <w:footnote w:type="continuationSeparator" w:id="0">
    <w:p w:rsidR="0031515A" w:rsidRDefault="0031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4F3A"/>
    <w:multiLevelType w:val="hybridMultilevel"/>
    <w:tmpl w:val="C2CEE19A"/>
    <w:lvl w:ilvl="0" w:tplc="E25A5428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2C2E30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48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00"/>
    <w:rsid w:val="00005507"/>
    <w:rsid w:val="00051DDD"/>
    <w:rsid w:val="000E387C"/>
    <w:rsid w:val="000E74CA"/>
    <w:rsid w:val="00196A89"/>
    <w:rsid w:val="001D7A41"/>
    <w:rsid w:val="00234826"/>
    <w:rsid w:val="0026461C"/>
    <w:rsid w:val="002675AA"/>
    <w:rsid w:val="002A2D19"/>
    <w:rsid w:val="002B3BE1"/>
    <w:rsid w:val="0031515A"/>
    <w:rsid w:val="003256F5"/>
    <w:rsid w:val="0033680D"/>
    <w:rsid w:val="003A152D"/>
    <w:rsid w:val="003B3B5D"/>
    <w:rsid w:val="003C1841"/>
    <w:rsid w:val="004014C8"/>
    <w:rsid w:val="004E37A7"/>
    <w:rsid w:val="004E440C"/>
    <w:rsid w:val="00517047"/>
    <w:rsid w:val="00531237"/>
    <w:rsid w:val="00557569"/>
    <w:rsid w:val="00572E53"/>
    <w:rsid w:val="00594650"/>
    <w:rsid w:val="00596D9E"/>
    <w:rsid w:val="005B204A"/>
    <w:rsid w:val="005C2F9F"/>
    <w:rsid w:val="005D186D"/>
    <w:rsid w:val="00675881"/>
    <w:rsid w:val="006B17A2"/>
    <w:rsid w:val="006B450B"/>
    <w:rsid w:val="006D6C80"/>
    <w:rsid w:val="007353C2"/>
    <w:rsid w:val="00754464"/>
    <w:rsid w:val="00772CD4"/>
    <w:rsid w:val="0077739E"/>
    <w:rsid w:val="00795075"/>
    <w:rsid w:val="007D0700"/>
    <w:rsid w:val="007D079F"/>
    <w:rsid w:val="00823F32"/>
    <w:rsid w:val="00855EA3"/>
    <w:rsid w:val="008B26D9"/>
    <w:rsid w:val="008C1E62"/>
    <w:rsid w:val="008C7DFD"/>
    <w:rsid w:val="008D7BDB"/>
    <w:rsid w:val="008F543B"/>
    <w:rsid w:val="009313F1"/>
    <w:rsid w:val="00931E51"/>
    <w:rsid w:val="00973259"/>
    <w:rsid w:val="00984659"/>
    <w:rsid w:val="009A14E8"/>
    <w:rsid w:val="009A7726"/>
    <w:rsid w:val="009F7002"/>
    <w:rsid w:val="00A16402"/>
    <w:rsid w:val="00A63AC6"/>
    <w:rsid w:val="00AE6EDA"/>
    <w:rsid w:val="00B11C15"/>
    <w:rsid w:val="00BD4C7D"/>
    <w:rsid w:val="00C311E1"/>
    <w:rsid w:val="00C56676"/>
    <w:rsid w:val="00C642E6"/>
    <w:rsid w:val="00CB3856"/>
    <w:rsid w:val="00CB710E"/>
    <w:rsid w:val="00D06501"/>
    <w:rsid w:val="00EA7F04"/>
    <w:rsid w:val="00EB35E2"/>
    <w:rsid w:val="00EF0800"/>
    <w:rsid w:val="00F03FB6"/>
    <w:rsid w:val="00F36582"/>
    <w:rsid w:val="00F62F28"/>
    <w:rsid w:val="00F8541A"/>
    <w:rsid w:val="00FB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adjustRightInd w:val="0"/>
      <w:snapToGrid w:val="0"/>
      <w:spacing w:line="240" w:lineRule="atLeast"/>
      <w:ind w:left="480" w:hanging="480"/>
      <w:jc w:val="both"/>
    </w:pPr>
    <w:rPr>
      <w:rFonts w:ascii="標楷體" w:eastAsia="標楷體" w:hAnsi="標楷體"/>
      <w:kern w:val="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styleId="2">
    <w:name w:val="Body Text Indent 2"/>
    <w:basedOn w:val="a"/>
    <w:pPr>
      <w:widowControl/>
      <w:snapToGrid w:val="0"/>
      <w:spacing w:line="440" w:lineRule="exact"/>
      <w:ind w:leftChars="117" w:left="1121" w:hangingChars="300" w:hanging="840"/>
    </w:pPr>
    <w:rPr>
      <w:rFonts w:ascii="標楷體" w:eastAsia="標楷體" w:hAnsi="標楷體"/>
      <w:color w:val="000000"/>
      <w:kern w:val="0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customStyle="1" w:styleId="a7">
    <w:name w:val="圖標題"/>
    <w:basedOn w:val="a"/>
    <w:pPr>
      <w:jc w:val="center"/>
    </w:pPr>
    <w:rPr>
      <w:rFonts w:eastAsia="標楷體"/>
      <w:b/>
      <w:sz w:val="28"/>
      <w:szCs w:val="28"/>
    </w:rPr>
  </w:style>
  <w:style w:type="paragraph" w:styleId="a8">
    <w:name w:val="Balloon Text"/>
    <w:basedOn w:val="a"/>
    <w:link w:val="a9"/>
    <w:rsid w:val="00594650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594650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72E5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CC61F-84B2-427E-8AE5-EEF6A7D4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1557</Words>
  <Characters>61</Characters>
  <Application>Microsoft Office Word</Application>
  <DocSecurity>0</DocSecurity>
  <Lines>1</Lines>
  <Paragraphs>3</Paragraphs>
  <ScaleCrop>false</ScaleCrop>
  <Company>Sky123.Org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檔案管理局</dc:title>
  <dc:creator>方筱媛</dc:creator>
  <cp:lastModifiedBy>簡妙容</cp:lastModifiedBy>
  <cp:revision>16</cp:revision>
  <cp:lastPrinted>2013-08-19T03:26:00Z</cp:lastPrinted>
  <dcterms:created xsi:type="dcterms:W3CDTF">2015-08-11T07:55:00Z</dcterms:created>
  <dcterms:modified xsi:type="dcterms:W3CDTF">2016-08-05T06:11:00Z</dcterms:modified>
</cp:coreProperties>
</file>